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5E3A" w:rsidRDefault="00DA5E3A" w:rsidP="00DA5E3A">
      <w:pPr>
        <w:spacing w:line="360" w:lineRule="auto"/>
        <w:rPr>
          <w:rFonts w:ascii="Open Sans" w:hAnsi="Open Sans" w:cs="Open Sans"/>
          <w:b/>
          <w:bCs/>
          <w:color w:val="212121"/>
          <w:spacing w:val="2"/>
          <w:shd w:val="clear" w:color="auto" w:fill="FFFFFF"/>
        </w:rPr>
      </w:pPr>
      <w:r w:rsidRPr="00DA5E3A">
        <w:rPr>
          <w:rFonts w:ascii="Open Sans" w:hAnsi="Open Sans" w:cs="Open Sans"/>
          <w:b/>
          <w:bCs/>
          <w:color w:val="212121"/>
          <w:spacing w:val="2"/>
          <w:shd w:val="clear" w:color="auto" w:fill="FFFFFF"/>
        </w:rPr>
        <w:t xml:space="preserve">Topic 8 DQ </w:t>
      </w:r>
      <w:r>
        <w:rPr>
          <w:rFonts w:ascii="Open Sans" w:hAnsi="Open Sans" w:cs="Open Sans"/>
          <w:b/>
          <w:bCs/>
          <w:color w:val="212121"/>
          <w:spacing w:val="2"/>
          <w:shd w:val="clear" w:color="auto" w:fill="FFFFFF"/>
        </w:rPr>
        <w:t>2</w:t>
      </w:r>
      <w:r w:rsidR="002A6761">
        <w:rPr>
          <w:rFonts w:ascii="Open Sans" w:hAnsi="Open Sans" w:cs="Open Sans"/>
          <w:b/>
          <w:bCs/>
          <w:color w:val="212121"/>
          <w:spacing w:val="2"/>
          <w:shd w:val="clear" w:color="auto" w:fill="FFFFFF"/>
        </w:rPr>
        <w:t xml:space="preserve"> Responses</w:t>
      </w:r>
    </w:p>
    <w:p w:rsidR="00C936B6" w:rsidRPr="00DA5E3A" w:rsidRDefault="00477B51" w:rsidP="00DA5E3A">
      <w:pPr>
        <w:spacing w:line="360" w:lineRule="auto"/>
        <w:rPr>
          <w:rFonts w:ascii="Open Sans" w:hAnsi="Open Sans" w:cs="Open Sans"/>
          <w:b/>
          <w:bCs/>
          <w:color w:val="212121"/>
          <w:spacing w:val="2"/>
          <w:shd w:val="clear" w:color="auto" w:fill="FFFFFF"/>
        </w:rPr>
      </w:pPr>
      <w:r>
        <w:rPr>
          <w:rFonts w:ascii="Open Sans" w:hAnsi="Open Sans" w:cs="Open Sans"/>
          <w:b/>
          <w:bCs/>
          <w:color w:val="212121"/>
          <w:spacing w:val="2"/>
          <w:shd w:val="clear" w:color="auto" w:fill="FFFFFF"/>
        </w:rPr>
        <w:t>John</w:t>
      </w:r>
      <w:r w:rsidR="00C936B6">
        <w:rPr>
          <w:rFonts w:ascii="Open Sans" w:hAnsi="Open Sans" w:cs="Open Sans"/>
          <w:b/>
          <w:bCs/>
          <w:color w:val="212121"/>
          <w:spacing w:val="2"/>
          <w:shd w:val="clear" w:color="auto" w:fill="FFFFFF"/>
        </w:rPr>
        <w:t>’s Discussion</w:t>
      </w:r>
    </w:p>
    <w:p w:rsidR="00477B51" w:rsidRDefault="00477B51" w:rsidP="00477B51">
      <w:pPr>
        <w:pStyle w:val="NormalWeb"/>
        <w:shd w:val="clear" w:color="auto" w:fill="FFFFFF"/>
        <w:spacing w:before="0" w:beforeAutospacing="0" w:after="0" w:afterAutospacing="0" w:line="276" w:lineRule="auto"/>
        <w:rPr>
          <w:rFonts w:ascii="Aptos" w:hAnsi="Aptos"/>
          <w:color w:val="212121"/>
          <w:spacing w:val="2"/>
        </w:rPr>
      </w:pPr>
      <w:r>
        <w:rPr>
          <w:color w:val="212121"/>
          <w:spacing w:val="2"/>
          <w:bdr w:val="none" w:sz="0" w:space="0" w:color="auto" w:frame="1"/>
        </w:rPr>
        <w:t>For my capstone project, a result could still be useful to the clinic even if it does not reach statistical significance. Statistical significance refers to whether an observed difference is unlikely to have occurred by chance, which is commonly evaluated using a p value (</w:t>
      </w:r>
      <w:proofErr w:type="spellStart"/>
      <w:r>
        <w:rPr>
          <w:color w:val="212121"/>
          <w:spacing w:val="2"/>
          <w:bdr w:val="none" w:sz="0" w:space="0" w:color="auto" w:frame="1"/>
        </w:rPr>
        <w:t>Barría</w:t>
      </w:r>
      <w:proofErr w:type="spellEnd"/>
      <w:r>
        <w:rPr>
          <w:color w:val="212121"/>
          <w:spacing w:val="2"/>
          <w:bdr w:val="none" w:sz="0" w:space="0" w:color="auto" w:frame="1"/>
        </w:rPr>
        <w:t xml:space="preserve">, 2023). Clinical significance refers to whether a change is large enough to have practical meaning for patients or clinical practice (AbdulRaheem, 2024). </w:t>
      </w:r>
      <w:proofErr w:type="spellStart"/>
      <w:r>
        <w:rPr>
          <w:color w:val="212121"/>
          <w:spacing w:val="2"/>
          <w:bdr w:val="none" w:sz="0" w:space="0" w:color="auto" w:frame="1"/>
        </w:rPr>
        <w:t>Barría</w:t>
      </w:r>
      <w:proofErr w:type="spellEnd"/>
      <w:r>
        <w:rPr>
          <w:color w:val="212121"/>
          <w:spacing w:val="2"/>
          <w:bdr w:val="none" w:sz="0" w:space="0" w:color="auto" w:frame="1"/>
        </w:rPr>
        <w:t xml:space="preserve"> (2023) also cautions that the p value does not show the size or practical importance of the effect and can be influenced by sample size.</w:t>
      </w:r>
    </w:p>
    <w:p w:rsidR="00477B51" w:rsidRDefault="00477B51" w:rsidP="00477B51">
      <w:pPr>
        <w:pStyle w:val="NormalWeb"/>
        <w:shd w:val="clear" w:color="auto" w:fill="FFFFFF"/>
        <w:spacing w:before="0" w:beforeAutospacing="0" w:after="0" w:afterAutospacing="0" w:line="276" w:lineRule="auto"/>
        <w:rPr>
          <w:rFonts w:ascii="Aptos" w:hAnsi="Aptos"/>
          <w:color w:val="212121"/>
          <w:spacing w:val="2"/>
        </w:rPr>
      </w:pPr>
      <w:r>
        <w:rPr>
          <w:color w:val="212121"/>
          <w:spacing w:val="2"/>
          <w:bdr w:val="none" w:sz="0" w:space="0" w:color="auto" w:frame="1"/>
        </w:rPr>
        <w:t>That distinction is important for an 8-week nurse-led telemedicine project. If the number of participating Medicare GLP-1 patients is limited, the project may not have enough data to produce a statistically significant result. I could still look for meaningful changes in the outcomes built into my evaluation plan. These include patients explaining medication purpose and side effects through teach-back, identifying technology or language barriers before the next visit, completing scheduled follow-up, and nurses documenting education more consistently. AbdulRaheem (2024) similarly explains that statistical results should be interpreted alongside clinical relevance and effect size rather than relying on a p</w:t>
      </w:r>
      <w:r w:rsidR="00D944D3">
        <w:rPr>
          <w:color w:val="212121"/>
          <w:spacing w:val="2"/>
          <w:bdr w:val="none" w:sz="0" w:space="0" w:color="auto" w:frame="1"/>
        </w:rPr>
        <w:t>-</w:t>
      </w:r>
      <w:r>
        <w:rPr>
          <w:color w:val="212121"/>
          <w:spacing w:val="2"/>
          <w:bdr w:val="none" w:sz="0" w:space="0" w:color="auto" w:frame="1"/>
        </w:rPr>
        <w:t>value alone.</w:t>
      </w:r>
    </w:p>
    <w:p w:rsidR="00477B51" w:rsidRDefault="00477B51" w:rsidP="00477B51">
      <w:pPr>
        <w:pStyle w:val="NormalWeb"/>
        <w:shd w:val="clear" w:color="auto" w:fill="FFFFFF"/>
        <w:spacing w:before="0" w:beforeAutospacing="0" w:after="0" w:afterAutospacing="0" w:line="276" w:lineRule="auto"/>
        <w:rPr>
          <w:rFonts w:ascii="Aptos" w:hAnsi="Aptos"/>
          <w:color w:val="212121"/>
          <w:spacing w:val="2"/>
        </w:rPr>
      </w:pPr>
      <w:r>
        <w:rPr>
          <w:color w:val="212121"/>
          <w:spacing w:val="2"/>
          <w:bdr w:val="none" w:sz="0" w:space="0" w:color="auto" w:frame="1"/>
        </w:rPr>
        <w:t>This fits the workflow</w:t>
      </w:r>
      <w:r w:rsidR="00D944D3">
        <w:rPr>
          <w:color w:val="212121"/>
          <w:spacing w:val="2"/>
          <w:bdr w:val="none" w:sz="0" w:space="0" w:color="auto" w:frame="1"/>
        </w:rPr>
        <w:t>-</w:t>
      </w:r>
      <w:r>
        <w:rPr>
          <w:color w:val="212121"/>
          <w:spacing w:val="2"/>
          <w:bdr w:val="none" w:sz="0" w:space="0" w:color="auto" w:frame="1"/>
        </w:rPr>
        <w:t>first approach I have discussed with my preceptor. A positive outcome would not only be a number on a statistical test. If the intervention helps patients understand their GLP-1 treatment and stay connected to follow-up without creating an unreasonable documentation burden for nurses, that will represent a practical improvement in outpatient care. Those findings could support refining the process and deciding whether it is worth continuing.</w:t>
      </w:r>
    </w:p>
    <w:p w:rsidR="00477B51" w:rsidRPr="00477B51" w:rsidRDefault="00477B51" w:rsidP="00477B51">
      <w:pPr>
        <w:pStyle w:val="NormalWeb"/>
        <w:shd w:val="clear" w:color="auto" w:fill="FFFFFF"/>
        <w:spacing w:before="0" w:beforeAutospacing="0" w:after="0" w:afterAutospacing="0" w:line="480" w:lineRule="atLeast"/>
        <w:rPr>
          <w:rFonts w:ascii="Aptos" w:hAnsi="Aptos"/>
          <w:b/>
          <w:bCs/>
          <w:color w:val="212121"/>
          <w:spacing w:val="2"/>
        </w:rPr>
      </w:pPr>
      <w:r w:rsidRPr="00477B51">
        <w:rPr>
          <w:b/>
          <w:bCs/>
          <w:color w:val="212121"/>
          <w:spacing w:val="2"/>
          <w:bdr w:val="none" w:sz="0" w:space="0" w:color="auto" w:frame="1"/>
        </w:rPr>
        <w:t>References</w:t>
      </w:r>
    </w:p>
    <w:p w:rsidR="00477B51" w:rsidRDefault="00477B51" w:rsidP="00477B51">
      <w:pPr>
        <w:pStyle w:val="NormalWeb"/>
        <w:shd w:val="clear" w:color="auto" w:fill="FFFFFF"/>
        <w:spacing w:before="0" w:beforeAutospacing="0" w:after="0" w:afterAutospacing="0" w:line="480" w:lineRule="atLeast"/>
        <w:ind w:left="720" w:hanging="720"/>
        <w:rPr>
          <w:rFonts w:ascii="Aptos" w:hAnsi="Aptos"/>
          <w:color w:val="212121"/>
          <w:spacing w:val="2"/>
        </w:rPr>
      </w:pPr>
      <w:r>
        <w:rPr>
          <w:color w:val="212121"/>
          <w:spacing w:val="2"/>
          <w:bdr w:val="none" w:sz="0" w:space="0" w:color="auto" w:frame="1"/>
        </w:rPr>
        <w:t>AbdulRaheem, Y. (2024). Statistical significance versus clinical relevance: Key considerations in interpretation medical research data. </w:t>
      </w:r>
      <w:r>
        <w:rPr>
          <w:rStyle w:val="Emphasis"/>
          <w:rFonts w:ascii="inherit" w:hAnsi="inherit"/>
          <w:color w:val="212121"/>
          <w:spacing w:val="2"/>
          <w:bdr w:val="none" w:sz="0" w:space="0" w:color="auto" w:frame="1"/>
        </w:rPr>
        <w:t>Indian Journal of Community Medicine</w:t>
      </w:r>
      <w:r>
        <w:rPr>
          <w:color w:val="212121"/>
          <w:spacing w:val="2"/>
          <w:bdr w:val="none" w:sz="0" w:space="0" w:color="auto" w:frame="1"/>
        </w:rPr>
        <w:t>, </w:t>
      </w:r>
      <w:r>
        <w:rPr>
          <w:rStyle w:val="Emphasis"/>
          <w:rFonts w:ascii="inherit" w:hAnsi="inherit"/>
          <w:color w:val="212121"/>
          <w:spacing w:val="2"/>
          <w:bdr w:val="none" w:sz="0" w:space="0" w:color="auto" w:frame="1"/>
        </w:rPr>
        <w:t>49</w:t>
      </w:r>
      <w:r>
        <w:rPr>
          <w:color w:val="212121"/>
          <w:spacing w:val="2"/>
          <w:bdr w:val="none" w:sz="0" w:space="0" w:color="auto" w:frame="1"/>
        </w:rPr>
        <w:t>(6), 791–795. </w:t>
      </w:r>
      <w:hyperlink r:id="rId4" w:tgtFrame="_blank" w:history="1">
        <w:r>
          <w:rPr>
            <w:rStyle w:val="Hyperlink"/>
            <w:color w:val="1A65B0"/>
            <w:spacing w:val="2"/>
            <w:bdr w:val="none" w:sz="0" w:space="0" w:color="auto" w:frame="1"/>
          </w:rPr>
          <w:t>https://doi-org.lopes.idm.oclc.org/10.4103/ijcm.ijcm_601_23</w:t>
        </w:r>
      </w:hyperlink>
    </w:p>
    <w:p w:rsidR="00477B51" w:rsidRDefault="00477B51" w:rsidP="00477B51">
      <w:pPr>
        <w:pStyle w:val="NormalWeb"/>
        <w:shd w:val="clear" w:color="auto" w:fill="FFFFFF"/>
        <w:spacing w:before="0" w:beforeAutospacing="0" w:after="0" w:afterAutospacing="0" w:line="480" w:lineRule="atLeast"/>
        <w:ind w:left="720" w:hanging="720"/>
        <w:rPr>
          <w:rFonts w:ascii="Aptos" w:hAnsi="Aptos"/>
          <w:color w:val="212121"/>
          <w:spacing w:val="2"/>
        </w:rPr>
      </w:pPr>
      <w:proofErr w:type="spellStart"/>
      <w:r>
        <w:rPr>
          <w:color w:val="212121"/>
          <w:spacing w:val="2"/>
          <w:bdr w:val="none" w:sz="0" w:space="0" w:color="auto" w:frame="1"/>
        </w:rPr>
        <w:t>Barría</w:t>
      </w:r>
      <w:proofErr w:type="spellEnd"/>
      <w:r>
        <w:rPr>
          <w:color w:val="212121"/>
          <w:spacing w:val="2"/>
          <w:bdr w:val="none" w:sz="0" w:space="0" w:color="auto" w:frame="1"/>
        </w:rPr>
        <w:t xml:space="preserve"> P., R. M. (2023). Use of research in the nursing practice: From statistical significance to clinical significance. </w:t>
      </w:r>
      <w:proofErr w:type="spellStart"/>
      <w:r>
        <w:rPr>
          <w:rStyle w:val="Emphasis"/>
          <w:rFonts w:ascii="inherit" w:hAnsi="inherit"/>
          <w:color w:val="212121"/>
          <w:spacing w:val="2"/>
          <w:bdr w:val="none" w:sz="0" w:space="0" w:color="auto" w:frame="1"/>
        </w:rPr>
        <w:t>Investigación</w:t>
      </w:r>
      <w:proofErr w:type="spellEnd"/>
      <w:r>
        <w:rPr>
          <w:rStyle w:val="Emphasis"/>
          <w:rFonts w:ascii="inherit" w:hAnsi="inherit"/>
          <w:color w:val="212121"/>
          <w:spacing w:val="2"/>
          <w:bdr w:val="none" w:sz="0" w:space="0" w:color="auto" w:frame="1"/>
        </w:rPr>
        <w:t xml:space="preserve"> &amp; </w:t>
      </w:r>
      <w:proofErr w:type="spellStart"/>
      <w:r>
        <w:rPr>
          <w:rStyle w:val="Emphasis"/>
          <w:rFonts w:ascii="inherit" w:hAnsi="inherit"/>
          <w:color w:val="212121"/>
          <w:spacing w:val="2"/>
          <w:bdr w:val="none" w:sz="0" w:space="0" w:color="auto" w:frame="1"/>
        </w:rPr>
        <w:t>Educación</w:t>
      </w:r>
      <w:proofErr w:type="spellEnd"/>
      <w:r>
        <w:rPr>
          <w:rStyle w:val="Emphasis"/>
          <w:rFonts w:ascii="inherit" w:hAnsi="inherit"/>
          <w:color w:val="212121"/>
          <w:spacing w:val="2"/>
          <w:bdr w:val="none" w:sz="0" w:space="0" w:color="auto" w:frame="1"/>
        </w:rPr>
        <w:t xml:space="preserve"> </w:t>
      </w:r>
      <w:proofErr w:type="spellStart"/>
      <w:r>
        <w:rPr>
          <w:rStyle w:val="Emphasis"/>
          <w:rFonts w:ascii="inherit" w:hAnsi="inherit"/>
          <w:color w:val="212121"/>
          <w:spacing w:val="2"/>
          <w:bdr w:val="none" w:sz="0" w:space="0" w:color="auto" w:frame="1"/>
        </w:rPr>
        <w:t>En</w:t>
      </w:r>
      <w:proofErr w:type="spellEnd"/>
      <w:r>
        <w:rPr>
          <w:rStyle w:val="Emphasis"/>
          <w:rFonts w:ascii="inherit" w:hAnsi="inherit"/>
          <w:color w:val="212121"/>
          <w:spacing w:val="2"/>
          <w:bdr w:val="none" w:sz="0" w:space="0" w:color="auto" w:frame="1"/>
        </w:rPr>
        <w:t xml:space="preserve"> </w:t>
      </w:r>
      <w:proofErr w:type="spellStart"/>
      <w:r>
        <w:rPr>
          <w:rStyle w:val="Emphasis"/>
          <w:rFonts w:ascii="inherit" w:hAnsi="inherit"/>
          <w:color w:val="212121"/>
          <w:spacing w:val="2"/>
          <w:bdr w:val="none" w:sz="0" w:space="0" w:color="auto" w:frame="1"/>
        </w:rPr>
        <w:t>Enfermería</w:t>
      </w:r>
      <w:proofErr w:type="spellEnd"/>
      <w:r>
        <w:rPr>
          <w:color w:val="212121"/>
          <w:spacing w:val="2"/>
          <w:bdr w:val="none" w:sz="0" w:space="0" w:color="auto" w:frame="1"/>
        </w:rPr>
        <w:t>, </w:t>
      </w:r>
      <w:r>
        <w:rPr>
          <w:rStyle w:val="Emphasis"/>
          <w:rFonts w:ascii="inherit" w:hAnsi="inherit"/>
          <w:color w:val="212121"/>
          <w:spacing w:val="2"/>
          <w:bdr w:val="none" w:sz="0" w:space="0" w:color="auto" w:frame="1"/>
        </w:rPr>
        <w:t>41</w:t>
      </w:r>
      <w:r>
        <w:rPr>
          <w:color w:val="212121"/>
          <w:spacing w:val="2"/>
          <w:bdr w:val="none" w:sz="0" w:space="0" w:color="auto" w:frame="1"/>
        </w:rPr>
        <w:t>(3), 1–10. </w:t>
      </w:r>
      <w:hyperlink r:id="rId5" w:tgtFrame="_blank" w:history="1">
        <w:r>
          <w:rPr>
            <w:rStyle w:val="Hyperlink"/>
            <w:color w:val="1A65B0"/>
            <w:spacing w:val="2"/>
            <w:bdr w:val="none" w:sz="0" w:space="0" w:color="auto" w:frame="1"/>
          </w:rPr>
          <w:t>https://doi-org.lopes.idm.oclc.org/10.17533/udea.iee.v41n3e12</w:t>
        </w:r>
      </w:hyperlink>
    </w:p>
    <w:p w:rsidR="00C936B6" w:rsidRDefault="00C936B6" w:rsidP="00C936B6">
      <w:pPr>
        <w:pStyle w:val="NormalWeb"/>
        <w:shd w:val="clear" w:color="auto" w:fill="FFFFFF"/>
        <w:spacing w:before="0" w:beforeAutospacing="0" w:after="0" w:afterAutospacing="0" w:line="360" w:lineRule="auto"/>
        <w:ind w:left="720" w:hanging="720"/>
        <w:rPr>
          <w:color w:val="212121"/>
          <w:spacing w:val="2"/>
          <w:bdr w:val="none" w:sz="0" w:space="0" w:color="auto" w:frame="1"/>
        </w:rPr>
      </w:pPr>
    </w:p>
    <w:p w:rsidR="00477B51" w:rsidRDefault="00477B51" w:rsidP="002A6761">
      <w:pPr>
        <w:pStyle w:val="NormalWeb"/>
        <w:shd w:val="clear" w:color="auto" w:fill="FFFFFF"/>
        <w:spacing w:before="0" w:beforeAutospacing="0" w:after="0" w:afterAutospacing="0" w:line="360" w:lineRule="auto"/>
        <w:ind w:left="720" w:hanging="720"/>
        <w:rPr>
          <w:b/>
          <w:bCs/>
          <w:color w:val="212121"/>
          <w:spacing w:val="2"/>
          <w:bdr w:val="none" w:sz="0" w:space="0" w:color="auto" w:frame="1"/>
        </w:rPr>
      </w:pPr>
    </w:p>
    <w:p w:rsidR="00477B51" w:rsidRDefault="00477B51" w:rsidP="002A6761">
      <w:pPr>
        <w:pStyle w:val="NormalWeb"/>
        <w:shd w:val="clear" w:color="auto" w:fill="FFFFFF"/>
        <w:spacing w:before="0" w:beforeAutospacing="0" w:after="0" w:afterAutospacing="0" w:line="360" w:lineRule="auto"/>
        <w:ind w:left="720" w:hanging="720"/>
        <w:rPr>
          <w:b/>
          <w:bCs/>
          <w:color w:val="212121"/>
          <w:spacing w:val="2"/>
          <w:bdr w:val="none" w:sz="0" w:space="0" w:color="auto" w:frame="1"/>
        </w:rPr>
      </w:pPr>
    </w:p>
    <w:p w:rsidR="00477B51" w:rsidRDefault="00477B51" w:rsidP="002A6761">
      <w:pPr>
        <w:pStyle w:val="NormalWeb"/>
        <w:shd w:val="clear" w:color="auto" w:fill="FFFFFF"/>
        <w:spacing w:before="0" w:beforeAutospacing="0" w:after="0" w:afterAutospacing="0" w:line="360" w:lineRule="auto"/>
        <w:ind w:left="720" w:hanging="720"/>
        <w:rPr>
          <w:b/>
          <w:bCs/>
          <w:color w:val="212121"/>
          <w:spacing w:val="2"/>
          <w:bdr w:val="none" w:sz="0" w:space="0" w:color="auto" w:frame="1"/>
        </w:rPr>
      </w:pPr>
    </w:p>
    <w:p w:rsidR="00477B51" w:rsidRDefault="00477B51" w:rsidP="002A6761">
      <w:pPr>
        <w:pStyle w:val="NormalWeb"/>
        <w:shd w:val="clear" w:color="auto" w:fill="FFFFFF"/>
        <w:spacing w:before="0" w:beforeAutospacing="0" w:after="0" w:afterAutospacing="0" w:line="360" w:lineRule="auto"/>
        <w:ind w:left="720" w:hanging="720"/>
        <w:rPr>
          <w:b/>
          <w:bCs/>
          <w:color w:val="212121"/>
          <w:spacing w:val="2"/>
          <w:bdr w:val="none" w:sz="0" w:space="0" w:color="auto" w:frame="1"/>
        </w:rPr>
      </w:pPr>
    </w:p>
    <w:p w:rsidR="00477B51" w:rsidRDefault="00477B51" w:rsidP="00477B51">
      <w:pPr>
        <w:pStyle w:val="NormalWeb"/>
        <w:shd w:val="clear" w:color="auto" w:fill="FFFFFF"/>
        <w:spacing w:before="0" w:beforeAutospacing="0" w:after="0" w:afterAutospacing="0" w:line="360" w:lineRule="auto"/>
        <w:ind w:left="720" w:hanging="720"/>
        <w:rPr>
          <w:b/>
          <w:bCs/>
          <w:color w:val="212121"/>
          <w:spacing w:val="2"/>
          <w:bdr w:val="none" w:sz="0" w:space="0" w:color="auto" w:frame="1"/>
        </w:rPr>
      </w:pPr>
      <w:r>
        <w:rPr>
          <w:b/>
          <w:bCs/>
          <w:color w:val="212121"/>
          <w:spacing w:val="2"/>
          <w:bdr w:val="none" w:sz="0" w:space="0" w:color="auto" w:frame="1"/>
        </w:rPr>
        <w:lastRenderedPageBreak/>
        <w:t>Van</w:t>
      </w:r>
      <w:r w:rsidR="002A6761" w:rsidRPr="002A6761">
        <w:rPr>
          <w:b/>
          <w:bCs/>
          <w:color w:val="212121"/>
          <w:spacing w:val="2"/>
          <w:bdr w:val="none" w:sz="0" w:space="0" w:color="auto" w:frame="1"/>
        </w:rPr>
        <w:t>’s Discussion</w:t>
      </w:r>
    </w:p>
    <w:p w:rsidR="00477B51" w:rsidRPr="00477B51" w:rsidRDefault="00477B51" w:rsidP="00477B51">
      <w:pPr>
        <w:pStyle w:val="NormalWeb"/>
        <w:shd w:val="clear" w:color="auto" w:fill="FFFFFF"/>
        <w:spacing w:before="0" w:beforeAutospacing="0" w:after="0" w:afterAutospacing="0" w:line="276" w:lineRule="auto"/>
        <w:rPr>
          <w:b/>
          <w:bCs/>
          <w:color w:val="212121"/>
          <w:spacing w:val="2"/>
          <w:bdr w:val="none" w:sz="0" w:space="0" w:color="auto" w:frame="1"/>
        </w:rPr>
      </w:pPr>
      <w:r w:rsidRPr="00477B51">
        <w:rPr>
          <w:color w:val="212121"/>
          <w:spacing w:val="2"/>
          <w:bdr w:val="none" w:sz="0" w:space="0" w:color="auto" w:frame="1"/>
        </w:rPr>
        <w:t>Evidence-based practice (EBP) projects are designed to improve patient care, but meaningful improvements do not always produce statistically significant findings. Statistical significance tells us whether the results are likely due to the intervention and not just random chance. While statistical significance is important in research, it does not always reflect whether a change has practical value in a clinical setting. In contrast, clinical significance focuses on whether an intervention leads to meaningful improvements in patient care, patient experiences, or health outcomes that positively influence everyday clinical practice (Khatri et al., 2022).</w:t>
      </w:r>
    </w:p>
    <w:p w:rsidR="00477B51" w:rsidRPr="00477B51" w:rsidRDefault="00477B51" w:rsidP="00477B51">
      <w:pPr>
        <w:shd w:val="clear" w:color="auto" w:fill="FFFFFF"/>
        <w:spacing w:line="276" w:lineRule="auto"/>
        <w:rPr>
          <w:rFonts w:ascii="Open Sans" w:eastAsia="Times New Roman" w:hAnsi="Open Sans" w:cs="Open Sans"/>
          <w:color w:val="212121"/>
          <w:spacing w:val="2"/>
          <w:kern w:val="0"/>
          <w:sz w:val="21"/>
          <w:szCs w:val="21"/>
          <w14:ligatures w14:val="none"/>
        </w:rPr>
      </w:pPr>
      <w:r w:rsidRPr="00477B51">
        <w:rPr>
          <w:rFonts w:ascii="Times New Roman" w:eastAsia="Times New Roman" w:hAnsi="Times New Roman" w:cs="Times New Roman"/>
          <w:color w:val="212121"/>
          <w:spacing w:val="2"/>
          <w:kern w:val="0"/>
          <w:bdr w:val="none" w:sz="0" w:space="0" w:color="auto" w:frame="1"/>
          <w14:ligatures w14:val="none"/>
        </w:rPr>
        <w:t>For my capstone project, clinical significance is especially important because the goal is to improve perinatal care coordination and communication through a standardized nurse navigator follow-up process for patients with high-risk pregnancies. Even if the project does not demonstrate statistically significant increases in appointment adherence or patient satisfaction, clinically meaningful improvements may still be observed. For example, patients may report feeling better informed about their care, experience fewer communication barriers, or receive more timely responses to their questions. Research has shown that effective nurse-patient communication and coordinated care can improve patient engagement and strengthen the overall health care experience (Kwame &amp; Petrucka, 2022).</w:t>
      </w:r>
    </w:p>
    <w:p w:rsidR="00477B51" w:rsidRPr="00477B51" w:rsidRDefault="00477B51" w:rsidP="00477B51">
      <w:pPr>
        <w:shd w:val="clear" w:color="auto" w:fill="FFFFFF"/>
        <w:spacing w:line="276" w:lineRule="auto"/>
        <w:rPr>
          <w:rFonts w:ascii="Open Sans" w:eastAsia="Times New Roman" w:hAnsi="Open Sans" w:cs="Open Sans"/>
          <w:color w:val="212121"/>
          <w:spacing w:val="2"/>
          <w:kern w:val="0"/>
          <w:sz w:val="21"/>
          <w:szCs w:val="21"/>
          <w14:ligatures w14:val="none"/>
        </w:rPr>
      </w:pPr>
      <w:r w:rsidRPr="00477B51">
        <w:rPr>
          <w:rFonts w:ascii="Times New Roman" w:eastAsia="Times New Roman" w:hAnsi="Times New Roman" w:cs="Times New Roman"/>
          <w:color w:val="212121"/>
          <w:spacing w:val="2"/>
          <w:kern w:val="0"/>
          <w:bdr w:val="none" w:sz="0" w:space="0" w:color="auto" w:frame="1"/>
          <w14:ligatures w14:val="none"/>
        </w:rPr>
        <w:t>In addition to improving the patient experience, standardized nurse navigator follow-up can support more consistent documentation and continuity of care. These practice improvements help nurses identify patient needs more efficiently and facilitate timely interventions, particularly for vulnerable populations such as women with high-risk pregnancies. Patient navigation has also been associated with enhanced care coordination and improved access to health care services, making it a valuable strategy for supporting positive clinical outcomes (Budde et al., 2021).</w:t>
      </w:r>
    </w:p>
    <w:p w:rsidR="00477B51" w:rsidRPr="00477B51" w:rsidRDefault="00477B51" w:rsidP="00477B51">
      <w:pPr>
        <w:shd w:val="clear" w:color="auto" w:fill="FFFFFF"/>
        <w:spacing w:line="276" w:lineRule="auto"/>
        <w:rPr>
          <w:rFonts w:ascii="Open Sans" w:eastAsia="Times New Roman" w:hAnsi="Open Sans" w:cs="Open Sans"/>
          <w:color w:val="212121"/>
          <w:spacing w:val="2"/>
          <w:kern w:val="0"/>
          <w:sz w:val="21"/>
          <w:szCs w:val="21"/>
          <w14:ligatures w14:val="none"/>
        </w:rPr>
      </w:pPr>
      <w:r w:rsidRPr="00477B51">
        <w:rPr>
          <w:rFonts w:ascii="Times New Roman" w:eastAsia="Times New Roman" w:hAnsi="Times New Roman" w:cs="Times New Roman"/>
          <w:color w:val="212121"/>
          <w:spacing w:val="2"/>
          <w:kern w:val="0"/>
          <w:bdr w:val="none" w:sz="0" w:space="0" w:color="auto" w:frame="1"/>
          <w14:ligatures w14:val="none"/>
        </w:rPr>
        <w:t>Evaluating clinical significance allows the project team to recognize improvements that directly affect patient care, even when statistical thresholds are not achieved. Patient feedback, staff observations, documentation audits, and trends in appointment attendance can provide meaningful evidence that the intervention is benefiting both patients and providers. By evaluating these real-world outcomes alongside quantitative data, the project team can make informed decisions about sustaining or refining the standardized nurse navigator follow-up process to continue improving the quality of perinatal care.</w:t>
      </w:r>
    </w:p>
    <w:p w:rsidR="00477B51" w:rsidRPr="00477B51" w:rsidRDefault="00477B51" w:rsidP="00477B51">
      <w:pPr>
        <w:shd w:val="clear" w:color="auto" w:fill="FFFFFF"/>
        <w:spacing w:line="276" w:lineRule="auto"/>
        <w:ind w:hanging="720"/>
        <w:rPr>
          <w:rFonts w:ascii="Open Sans" w:eastAsia="Times New Roman" w:hAnsi="Open Sans" w:cs="Open Sans"/>
          <w:b/>
          <w:bCs/>
          <w:color w:val="212121"/>
          <w:spacing w:val="2"/>
          <w:kern w:val="0"/>
          <w:sz w:val="21"/>
          <w:szCs w:val="21"/>
          <w14:ligatures w14:val="none"/>
        </w:rPr>
      </w:pPr>
      <w:r w:rsidRPr="00477B51">
        <w:rPr>
          <w:rFonts w:ascii="inherit" w:eastAsia="Times New Roman" w:hAnsi="inherit" w:cs="Times New Roman"/>
          <w:b/>
          <w:bCs/>
          <w:color w:val="212121"/>
          <w:spacing w:val="2"/>
          <w:kern w:val="0"/>
          <w:bdr w:val="none" w:sz="0" w:space="0" w:color="auto" w:frame="1"/>
          <w14:ligatures w14:val="none"/>
        </w:rPr>
        <w:t>References</w:t>
      </w:r>
    </w:p>
    <w:p w:rsidR="00477B51" w:rsidRPr="00477B51" w:rsidRDefault="00477B51" w:rsidP="00477B51">
      <w:pPr>
        <w:shd w:val="clear" w:color="auto" w:fill="FFFFFF"/>
        <w:spacing w:line="276" w:lineRule="auto"/>
        <w:ind w:hanging="720"/>
        <w:rPr>
          <w:rFonts w:ascii="Open Sans" w:eastAsia="Times New Roman" w:hAnsi="Open Sans" w:cs="Open Sans"/>
          <w:color w:val="212121"/>
          <w:spacing w:val="2"/>
          <w:kern w:val="0"/>
          <w:sz w:val="21"/>
          <w:szCs w:val="21"/>
          <w14:ligatures w14:val="none"/>
        </w:rPr>
      </w:pPr>
      <w:r w:rsidRPr="00477B51">
        <w:rPr>
          <w:rFonts w:ascii="Times New Roman" w:eastAsia="Times New Roman" w:hAnsi="Times New Roman" w:cs="Times New Roman"/>
          <w:color w:val="212121"/>
          <w:spacing w:val="2"/>
          <w:kern w:val="0"/>
          <w:bdr w:val="none" w:sz="0" w:space="0" w:color="auto" w:frame="1"/>
          <w14:ligatures w14:val="none"/>
        </w:rPr>
        <w:t>Budde, H., Williams, G. A., Winkelmann, J., Pfirter, L., &amp; Maier, C. B. (2021). The role of patient navigators in ambulatory care: Overview of systematic reviews. </w:t>
      </w:r>
      <w:r w:rsidRPr="00477B51">
        <w:rPr>
          <w:rFonts w:ascii="inherit" w:eastAsia="Times New Roman" w:hAnsi="inherit" w:cs="Times New Roman"/>
          <w:i/>
          <w:iCs/>
          <w:color w:val="212121"/>
          <w:spacing w:val="2"/>
          <w:kern w:val="0"/>
          <w:bdr w:val="none" w:sz="0" w:space="0" w:color="auto" w:frame="1"/>
          <w14:ligatures w14:val="none"/>
        </w:rPr>
        <w:t>BMC Health Services Research, 21</w:t>
      </w:r>
      <w:r w:rsidRPr="00477B51">
        <w:rPr>
          <w:rFonts w:ascii="Times New Roman" w:eastAsia="Times New Roman" w:hAnsi="Times New Roman" w:cs="Times New Roman"/>
          <w:color w:val="212121"/>
          <w:spacing w:val="2"/>
          <w:kern w:val="0"/>
          <w:bdr w:val="none" w:sz="0" w:space="0" w:color="auto" w:frame="1"/>
          <w14:ligatures w14:val="none"/>
        </w:rPr>
        <w:t>(1). </w:t>
      </w:r>
      <w:hyperlink r:id="rId6" w:tgtFrame="_blank" w:history="1">
        <w:r w:rsidRPr="00477B51">
          <w:rPr>
            <w:rFonts w:ascii="Times New Roman" w:eastAsia="Times New Roman" w:hAnsi="Times New Roman" w:cs="Times New Roman"/>
            <w:color w:val="212121"/>
            <w:spacing w:val="2"/>
            <w:kern w:val="0"/>
            <w:u w:val="single"/>
            <w:bdr w:val="none" w:sz="0" w:space="0" w:color="auto" w:frame="1"/>
            <w14:ligatures w14:val="none"/>
          </w:rPr>
          <w:t>https://doi.org/10.1186/s12913-021-07140-6</w:t>
        </w:r>
      </w:hyperlink>
    </w:p>
    <w:p w:rsidR="00477B51" w:rsidRPr="00477B51" w:rsidRDefault="00477B51" w:rsidP="00477B51">
      <w:pPr>
        <w:shd w:val="clear" w:color="auto" w:fill="FFFFFF"/>
        <w:spacing w:line="276" w:lineRule="auto"/>
        <w:ind w:hanging="720"/>
        <w:rPr>
          <w:rFonts w:ascii="Open Sans" w:eastAsia="Times New Roman" w:hAnsi="Open Sans" w:cs="Open Sans"/>
          <w:color w:val="212121"/>
          <w:spacing w:val="2"/>
          <w:kern w:val="0"/>
          <w:sz w:val="21"/>
          <w:szCs w:val="21"/>
          <w14:ligatures w14:val="none"/>
        </w:rPr>
      </w:pPr>
      <w:r w:rsidRPr="00477B51">
        <w:rPr>
          <w:rFonts w:ascii="Times New Roman" w:eastAsia="Times New Roman" w:hAnsi="Times New Roman" w:cs="Times New Roman"/>
          <w:color w:val="212121"/>
          <w:spacing w:val="2"/>
          <w:kern w:val="0"/>
          <w:bdr w:val="none" w:sz="0" w:space="0" w:color="auto" w:frame="1"/>
          <w14:ligatures w14:val="none"/>
        </w:rPr>
        <w:t>Khatri, R. B., Mengistu, T. S., &amp; Assefa, Y. (2022). Input, process, and output factors contributing to quality of antenatal care services: A scoping review of evidence. </w:t>
      </w:r>
      <w:r w:rsidRPr="00477B51">
        <w:rPr>
          <w:rFonts w:ascii="inherit" w:eastAsia="Times New Roman" w:hAnsi="inherit" w:cs="Times New Roman"/>
          <w:i/>
          <w:iCs/>
          <w:color w:val="212121"/>
          <w:spacing w:val="2"/>
          <w:kern w:val="0"/>
          <w:bdr w:val="none" w:sz="0" w:space="0" w:color="auto" w:frame="1"/>
          <w14:ligatures w14:val="none"/>
        </w:rPr>
        <w:t>BMC Pregnancy and Childbirth, 22</w:t>
      </w:r>
      <w:r w:rsidRPr="00477B51">
        <w:rPr>
          <w:rFonts w:ascii="Times New Roman" w:eastAsia="Times New Roman" w:hAnsi="Times New Roman" w:cs="Times New Roman"/>
          <w:color w:val="212121"/>
          <w:spacing w:val="2"/>
          <w:kern w:val="0"/>
          <w:bdr w:val="none" w:sz="0" w:space="0" w:color="auto" w:frame="1"/>
          <w14:ligatures w14:val="none"/>
        </w:rPr>
        <w:t>(1), 977. </w:t>
      </w:r>
      <w:hyperlink r:id="rId7" w:tgtFrame="_blank" w:history="1">
        <w:r w:rsidRPr="00477B51">
          <w:rPr>
            <w:rFonts w:ascii="Times New Roman" w:eastAsia="Times New Roman" w:hAnsi="Times New Roman" w:cs="Times New Roman"/>
            <w:color w:val="212121"/>
            <w:spacing w:val="2"/>
            <w:kern w:val="0"/>
            <w:u w:val="single"/>
            <w:bdr w:val="none" w:sz="0" w:space="0" w:color="auto" w:frame="1"/>
            <w14:ligatures w14:val="none"/>
          </w:rPr>
          <w:t>https://doi.org/10.1186/s12884-022-05331-5</w:t>
        </w:r>
      </w:hyperlink>
    </w:p>
    <w:p w:rsidR="00477B51" w:rsidRPr="00477B51" w:rsidRDefault="00477B51" w:rsidP="00477B51">
      <w:pPr>
        <w:shd w:val="clear" w:color="auto" w:fill="FFFFFF"/>
        <w:spacing w:line="276" w:lineRule="auto"/>
        <w:ind w:hanging="720"/>
        <w:rPr>
          <w:rFonts w:ascii="Open Sans" w:eastAsia="Times New Roman" w:hAnsi="Open Sans" w:cs="Open Sans"/>
          <w:color w:val="212121"/>
          <w:spacing w:val="2"/>
          <w:kern w:val="0"/>
          <w:sz w:val="21"/>
          <w:szCs w:val="21"/>
          <w14:ligatures w14:val="none"/>
        </w:rPr>
      </w:pPr>
      <w:r w:rsidRPr="00477B51">
        <w:rPr>
          <w:rFonts w:ascii="Times New Roman" w:eastAsia="Times New Roman" w:hAnsi="Times New Roman" w:cs="Times New Roman"/>
          <w:color w:val="212121"/>
          <w:spacing w:val="2"/>
          <w:kern w:val="0"/>
          <w:bdr w:val="none" w:sz="0" w:space="0" w:color="auto" w:frame="1"/>
          <w14:ligatures w14:val="none"/>
        </w:rPr>
        <w:lastRenderedPageBreak/>
        <w:t>Kwame, A., &amp; Petrucka, P. M. (2022). Universal healthcare coverage, patients' rights, and nurse-patient communication: A critical review of the evidence. </w:t>
      </w:r>
      <w:r w:rsidRPr="00477B51">
        <w:rPr>
          <w:rFonts w:ascii="inherit" w:eastAsia="Times New Roman" w:hAnsi="inherit" w:cs="Times New Roman"/>
          <w:i/>
          <w:iCs/>
          <w:color w:val="212121"/>
          <w:spacing w:val="2"/>
          <w:kern w:val="0"/>
          <w:bdr w:val="none" w:sz="0" w:space="0" w:color="auto" w:frame="1"/>
          <w14:ligatures w14:val="none"/>
        </w:rPr>
        <w:t>BMC Nursing, 21</w:t>
      </w:r>
      <w:r w:rsidRPr="00477B51">
        <w:rPr>
          <w:rFonts w:ascii="Times New Roman" w:eastAsia="Times New Roman" w:hAnsi="Times New Roman" w:cs="Times New Roman"/>
          <w:color w:val="212121"/>
          <w:spacing w:val="2"/>
          <w:kern w:val="0"/>
          <w:bdr w:val="none" w:sz="0" w:space="0" w:color="auto" w:frame="1"/>
          <w14:ligatures w14:val="none"/>
        </w:rPr>
        <w:t>(1), 54. </w:t>
      </w:r>
      <w:hyperlink r:id="rId8" w:tgtFrame="_blank" w:history="1">
        <w:r w:rsidRPr="00477B51">
          <w:rPr>
            <w:rFonts w:ascii="Times New Roman" w:eastAsia="Times New Roman" w:hAnsi="Times New Roman" w:cs="Times New Roman"/>
            <w:color w:val="212121"/>
            <w:spacing w:val="2"/>
            <w:kern w:val="0"/>
            <w:u w:val="single"/>
            <w:bdr w:val="none" w:sz="0" w:space="0" w:color="auto" w:frame="1"/>
            <w14:ligatures w14:val="none"/>
          </w:rPr>
          <w:t>https://doi.org/10.1186/s12912-022-00833-1</w:t>
        </w:r>
      </w:hyperlink>
    </w:p>
    <w:p w:rsidR="00477B51" w:rsidRPr="00477B51" w:rsidRDefault="00477B51" w:rsidP="00477B51">
      <w:pPr>
        <w:spacing w:line="276" w:lineRule="auto"/>
        <w:rPr>
          <w:rFonts w:ascii="Times New Roman" w:eastAsia="Times New Roman" w:hAnsi="Times New Roman" w:cs="Times New Roman"/>
          <w:kern w:val="0"/>
          <w14:ligatures w14:val="none"/>
        </w:rPr>
      </w:pPr>
    </w:p>
    <w:p w:rsidR="00DA5E3A" w:rsidRPr="00DA5E3A" w:rsidRDefault="00DA5E3A" w:rsidP="00477B51">
      <w:pPr>
        <w:pStyle w:val="NormalWeb"/>
        <w:shd w:val="clear" w:color="auto" w:fill="FFFFFF"/>
        <w:spacing w:before="0" w:beforeAutospacing="0" w:after="0" w:afterAutospacing="0" w:line="276" w:lineRule="auto"/>
        <w:rPr>
          <w:sz w:val="22"/>
          <w:szCs w:val="22"/>
        </w:rPr>
      </w:pPr>
    </w:p>
    <w:sectPr w:rsidR="00DA5E3A" w:rsidRPr="00DA5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3A"/>
    <w:rsid w:val="002A6761"/>
    <w:rsid w:val="00477B51"/>
    <w:rsid w:val="006451FF"/>
    <w:rsid w:val="00B72657"/>
    <w:rsid w:val="00C936B6"/>
    <w:rsid w:val="00D944D3"/>
    <w:rsid w:val="00DA5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B3B6B"/>
  <w15:chartTrackingRefBased/>
  <w15:docId w15:val="{D6C6DB37-CDA9-0845-906C-0D376A69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6B6"/>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936B6"/>
    <w:rPr>
      <w:i/>
      <w:iCs/>
    </w:rPr>
  </w:style>
  <w:style w:type="character" w:styleId="Strong">
    <w:name w:val="Strong"/>
    <w:basedOn w:val="DefaultParagraphFont"/>
    <w:uiPriority w:val="22"/>
    <w:qFormat/>
    <w:rsid w:val="002A6761"/>
    <w:rPr>
      <w:b/>
      <w:bCs/>
    </w:rPr>
  </w:style>
  <w:style w:type="character" w:styleId="HTMLCode">
    <w:name w:val="HTML Code"/>
    <w:basedOn w:val="DefaultParagraphFont"/>
    <w:uiPriority w:val="99"/>
    <w:semiHidden/>
    <w:unhideWhenUsed/>
    <w:rsid w:val="002A6761"/>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77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5456">
      <w:bodyDiv w:val="1"/>
      <w:marLeft w:val="0"/>
      <w:marRight w:val="0"/>
      <w:marTop w:val="0"/>
      <w:marBottom w:val="0"/>
      <w:divBdr>
        <w:top w:val="none" w:sz="0" w:space="0" w:color="auto"/>
        <w:left w:val="none" w:sz="0" w:space="0" w:color="auto"/>
        <w:bottom w:val="none" w:sz="0" w:space="0" w:color="auto"/>
        <w:right w:val="none" w:sz="0" w:space="0" w:color="auto"/>
      </w:divBdr>
    </w:div>
    <w:div w:id="296112518">
      <w:bodyDiv w:val="1"/>
      <w:marLeft w:val="0"/>
      <w:marRight w:val="0"/>
      <w:marTop w:val="0"/>
      <w:marBottom w:val="0"/>
      <w:divBdr>
        <w:top w:val="none" w:sz="0" w:space="0" w:color="auto"/>
        <w:left w:val="none" w:sz="0" w:space="0" w:color="auto"/>
        <w:bottom w:val="none" w:sz="0" w:space="0" w:color="auto"/>
        <w:right w:val="none" w:sz="0" w:space="0" w:color="auto"/>
      </w:divBdr>
    </w:div>
    <w:div w:id="899363079">
      <w:bodyDiv w:val="1"/>
      <w:marLeft w:val="0"/>
      <w:marRight w:val="0"/>
      <w:marTop w:val="0"/>
      <w:marBottom w:val="0"/>
      <w:divBdr>
        <w:top w:val="none" w:sz="0" w:space="0" w:color="auto"/>
        <w:left w:val="none" w:sz="0" w:space="0" w:color="auto"/>
        <w:bottom w:val="none" w:sz="0" w:space="0" w:color="auto"/>
        <w:right w:val="none" w:sz="0" w:space="0" w:color="auto"/>
      </w:divBdr>
    </w:div>
    <w:div w:id="15369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912-022-00833-1" TargetMode="External"/><Relationship Id="rId3" Type="http://schemas.openxmlformats.org/officeDocument/2006/relationships/webSettings" Target="webSettings.xml"/><Relationship Id="rId7" Type="http://schemas.openxmlformats.org/officeDocument/2006/relationships/hyperlink" Target="https://doi.org/10.1186/s12884-022-0533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86/s12913-021-07140-6" TargetMode="External"/><Relationship Id="rId5" Type="http://schemas.openxmlformats.org/officeDocument/2006/relationships/hyperlink" Target="https://doi-org.lopes.idm.oclc.org/10.17533/udea.iee.v41n3e12" TargetMode="External"/><Relationship Id="rId10" Type="http://schemas.openxmlformats.org/officeDocument/2006/relationships/theme" Target="theme/theme1.xml"/><Relationship Id="rId4" Type="http://schemas.openxmlformats.org/officeDocument/2006/relationships/hyperlink" Target="https://doi-org.lopes.idm.oclc.org/10.4103/ijcm.ijcm_601_2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2026-08-07T05:42:00Z</dcterms:created>
  <dcterms:modified xsi:type="dcterms:W3CDTF">2026-08-07T22:34:00Z</dcterms:modified>
</cp:coreProperties>
</file>